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C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文峰街道塔湾社区</w:t>
      </w:r>
    </w:p>
    <w:p w14:paraId="03FC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年度“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双报双评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”工作报告</w:t>
      </w:r>
    </w:p>
    <w:p w14:paraId="6B9C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塔湾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社区党支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书记：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陈广华</w:t>
      </w:r>
    </w:p>
    <w:p w14:paraId="00C41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9F4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尊敬的各位领导、同志们大家好!</w:t>
      </w:r>
    </w:p>
    <w:p w14:paraId="23A84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2024年在魏都区委、文峰街道党工委的坚强领导下，我始终牢记职责使命，紧紧围绕社区工作重点，团结带领社区全体党员干部，扎实推进各项工作，努力为社区发展和居民幸福生活提供坚强有力的保障。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现将2024年履职工作情况汇报如下：</w:t>
      </w:r>
    </w:p>
    <w:p w14:paraId="0AAE0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一、年度履行职责报告内容</w:t>
      </w:r>
    </w:p>
    <w:p w14:paraId="44CD5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（一）党纪党规学习情况</w:t>
      </w:r>
    </w:p>
    <w:p w14:paraId="661D120C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塔湾社区党委注重作风建设，严格落实全面从严治党的要求，强化纪律建设，以党风廉政建设促进整体工作作风的提升。</w:t>
      </w:r>
    </w:p>
    <w:p w14:paraId="5842CDF9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一是组织开展《中国共产党纪律处分条例》、党风廉政建设教育活动，结合党的二十大精神，深入推进作风整顿，规范党员行为。通过组织廉政教育学习、警示教育活动，党员干部的纪律意识和廉洁自律意识得到进一步增强，廉洁自律的良好风气逐步形成。</w:t>
      </w:r>
    </w:p>
    <w:p w14:paraId="70DB9386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是狠抓党组织作风建设，确保决策部署执行力。社区党委认真落实从严治党的方针，以“严”的标准推动工作落实，通过狠抓执行力和责任落实，党委工作的执行效能进一步提高，确保了党的各项政策和部署得以顺利实施，推动了整体党务工作和社会事业的稳步发展。</w:t>
      </w:r>
    </w:p>
    <w:p w14:paraId="4AF33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（二）履职情况</w:t>
      </w:r>
    </w:p>
    <w:p w14:paraId="03412276">
      <w:pPr>
        <w:widowControl w:val="0"/>
        <w:spacing w:line="600" w:lineRule="exact"/>
        <w:ind w:firstLine="321" w:firstLineChars="100"/>
        <w:jc w:val="both"/>
        <w:rPr>
          <w:rFonts w:ascii="Times New Roman" w:hAnsi="Times New Roman" w:eastAsia="楷体_GB2312"/>
          <w:b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  <w:lang w:eastAsia="zh-CN"/>
        </w:rPr>
        <w:t>强化主体责任落实，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</w:rPr>
        <w:t>履行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  <w:lang w:eastAsia="zh-CN"/>
        </w:rPr>
        <w:t>党建第一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</w:rPr>
        <w:t>责任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楷体_GB2312"/>
          <w:b/>
          <w:kern w:val="2"/>
          <w:sz w:val="32"/>
          <w:szCs w:val="32"/>
        </w:rPr>
        <w:t>职责</w:t>
      </w:r>
    </w:p>
    <w:p w14:paraId="7268310F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作为社区党组织负责人，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明确了党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成员在党建工作中的具体职责，形成了“书记带头抓、班子成员分工抓、全体党员共同参与”的党建工作格局。我作为党建第一责任人，对党建工作亲自谋划、亲自部署、亲自推动，确保各项党建任务落到实处。</w:t>
      </w:r>
    </w:p>
    <w:p w14:paraId="59FFF9CC"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强化党员管理，塔湾社区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现有正式党员12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名，下设有8个党小组，202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年严格党员发展及管理工作，按程序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转正党员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2名、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发展预备党员1名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积极分子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名，确保了社区党员队伍不断壮大，新鲜血液不断输入。</w:t>
      </w:r>
    </w:p>
    <w:p w14:paraId="6089CEA8">
      <w:pPr>
        <w:widowControl w:val="0"/>
        <w:spacing w:line="600" w:lineRule="exact"/>
        <w:ind w:firstLine="321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2、社区党组织履行党风廉政建设责任制和区委巡查反馈问题整改情况</w:t>
      </w:r>
    </w:p>
    <w:p w14:paraId="4F72B733">
      <w:pPr>
        <w:widowControl w:val="0"/>
        <w:spacing w:line="600" w:lineRule="exact"/>
        <w:ind w:firstLine="42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履行职责范围内党风廉政建设“第一责任人”职责，贯彻执行民主集中制，落实集体领导和分工负责等制度，做到本社区党风廉政建设和作风建设亲自抓部署、抓协调、抓督促抓落实的情况。对社区“两委”其他成员廉洁自律、履行党风廉政建设职责情况进行监督，加强教育管理的情况。带头学习贯彻党章党规党纪,在遵守和执行廉洁自律准则、中央八项规定精神等制度规定上作表率。主动接受街道纪工委和本社区纪检组织的监督，坚决按照上级要求履行自己的监督责任。</w:t>
      </w:r>
    </w:p>
    <w:p w14:paraId="7C0162F3">
      <w:pPr>
        <w:widowControl w:val="0"/>
        <w:spacing w:line="600" w:lineRule="exact"/>
        <w:ind w:firstLine="321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3、贯彻执行党的路线方针政策、上级党组织要求以及党员大会决议落实情况</w:t>
      </w:r>
    </w:p>
    <w:p w14:paraId="09E6D6CA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做党的路线方针政策的传播者。党的路线方针政策的执行不仅要依靠党的各级组织，更要依靠人民群众的积极参与，才能取得成功。基层党组织最贴近群众，毫无疑义应该承担起宣传的重担，通过生动活泼、贴近群众、入情入理的宣传，提升群众的知晓率，把群众的思想统一到党的决定上来，奠定落实党的路线方针政策的群众基础。</w:t>
      </w:r>
    </w:p>
    <w:p w14:paraId="6B106278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学习贯彻党的二十大精神，社区组织社区党员在社区会议室集中学习，交流经验。大家纷纷表示，作为社区党员，将认真学习贯彻好二十大会议精神，充分发挥社区党员的作用，履行好自己的职责，为社区建设献计出力，多做力所能及的工作，把社区建设得更和谐，让社区居民生活得更幸福。</w:t>
      </w:r>
    </w:p>
    <w:p w14:paraId="4490A017">
      <w:pPr>
        <w:widowControl w:val="0"/>
        <w:spacing w:line="600" w:lineRule="exact"/>
        <w:ind w:firstLine="321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4、“五星”支部建设工作开展情况</w:t>
      </w:r>
    </w:p>
    <w:p w14:paraId="02D3B344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年塔湾社区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创建了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3星支部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，分别是：产业兴旺星、生态宜居星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、文明幸福星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目标不断努力，取得了一些成果，在产业兴旺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方面：依托社区集体门面房、大型场地3处，年租赁收入250万元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每季度公示1次全年4次公开财务支出，做到财务公开化、透明化，接受党员群众监督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积极发挥“双绑”机制作用，解决了10余人村民的就业问题。</w:t>
      </w:r>
    </w:p>
    <w:p w14:paraId="66EA7A2B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生态宜居星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组织“清洁家园”活动24次，为辖区群众提供了干净舒适的居住环境，提升了群众的幸福感；评选“五美庭院””示范户5户，增加共建美丽家园的社会氛围；清理疏通排水管道20条，避免居民的生活污水乱排乱放。</w:t>
      </w:r>
    </w:p>
    <w:p w14:paraId="26D8D334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文明幸福星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开展“困境儿童”入户走访活动4次，共解决问题2件；利用微信群、发放宣传页等形式，开展宣传居民养老保险政策25次，增强居民参与养老保险意识；为村管55周岁以上居民570人缴纳城镇居民医疗保险，增强居民幸福感。</w:t>
      </w:r>
    </w:p>
    <w:p w14:paraId="7155322A">
      <w:pPr>
        <w:widowControl w:val="0"/>
        <w:spacing w:line="600" w:lineRule="exact"/>
        <w:ind w:firstLine="321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5、社区民主选举、民主决策、民主管理执行情况</w:t>
      </w:r>
    </w:p>
    <w:p w14:paraId="1E690FE5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全面落实四议两公开工作制度，坚持民主集中制，营造公开透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的工作环境。社区重大支出、重大事项都严格遵守四议两公开、民主集中制要求，定期更新财务、政务公开栏，年底召开党员及群众代表会，把一年来的工作、全年的财务收支情况向党员、代表报告，接受群众的监督。</w:t>
      </w:r>
    </w:p>
    <w:p w14:paraId="6EE3670E">
      <w:pPr>
        <w:widowControl w:val="0"/>
        <w:spacing w:line="600" w:lineRule="exact"/>
        <w:ind w:firstLine="321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kern w:val="2"/>
          <w:sz w:val="32"/>
          <w:szCs w:val="32"/>
          <w:lang w:val="en-US" w:eastAsia="zh-CN"/>
        </w:rPr>
        <w:t>6、涉及社区集体利益，党员群众关心情况</w:t>
      </w:r>
    </w:p>
    <w:p w14:paraId="7F42CCB3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社区集体收益均召开“三委会”讨论决定，并提交党员、代表大会通过方可执行。</w:t>
      </w:r>
    </w:p>
    <w:p w14:paraId="70E0B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二、社区集体资产、资金、资源使用情况</w:t>
      </w:r>
    </w:p>
    <w:p w14:paraId="2CA4C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（一）社区集体“三资”使用情况</w:t>
      </w:r>
    </w:p>
    <w:p w14:paraId="7CA563CD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2024年社区总收入300万元，总支出280万元（主要用于居民生活费下拨、社区居民医保上交）。</w:t>
      </w:r>
    </w:p>
    <w:p w14:paraId="59CD17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（二）社区财务收支债权债务情况</w:t>
      </w:r>
    </w:p>
    <w:p w14:paraId="0E7D0EC4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本年度无债权债务</w:t>
      </w:r>
    </w:p>
    <w:p w14:paraId="3CEA2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（三）社区“三资”通过纪委监委“民生监督大数据监督平台”、居务公开栏等方式公开情况</w:t>
      </w:r>
    </w:p>
    <w:p w14:paraId="00BE275E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区资金管理严格按照财务规章制度执行重大支出经“三委”会商议后，采取“四议两公开”方法规定执行，支出票据采取注明用途，由经手人签字，监委会集体签字盖章，书记、主任签字后，报办事处“三资代理服务中心”审核入账报销。涉及3000元以上的支出，填报重大支出审批表，报办事处分管领导签字后，方可支出。定期更新财务、政务公开栏，做到公开、透明，接受广大党员、群众的监督。</w:t>
      </w:r>
    </w:p>
    <w:p w14:paraId="2969866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政府拨付和接受社会捐赠的资金、物资管理使用情况</w:t>
      </w:r>
    </w:p>
    <w:p w14:paraId="24F6DB90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2024年上级拨付给社区办公经费共：47500元，社区按照拨付资金使用要求，做到了专款专用。</w:t>
      </w:r>
    </w:p>
    <w:p w14:paraId="14F3A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20" w:firstLineChars="100"/>
        <w:jc w:val="left"/>
        <w:textAlignment w:val="auto"/>
        <w:outlineLvl w:val="9"/>
        <w:rPr>
          <w:rFonts w:hint="default" w:ascii="仿宋_GB2312" w:hAnsi="新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（五）社区基础设施和公共服务建设等工程项目实施情况</w:t>
      </w:r>
    </w:p>
    <w:p w14:paraId="68DEE83D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2024年社区集体资产毓龙泉浴池修建地下蓄水池。</w:t>
      </w:r>
    </w:p>
    <w:p w14:paraId="008D0ED1">
      <w:pPr>
        <w:widowControl w:val="0"/>
        <w:numPr>
          <w:ilvl w:val="0"/>
          <w:numId w:val="0"/>
        </w:numPr>
        <w:spacing w:line="600" w:lineRule="exact"/>
        <w:ind w:firstLine="320" w:firstLineChars="100"/>
        <w:jc w:val="both"/>
        <w:rPr>
          <w:rFonts w:hint="default" w:ascii="仿宋_GB2312" w:hAnsi="新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（六）社区集体资产、资源底数及承包、租赁、担保、出让情况，征地补偿费用的使用、发放情况</w:t>
      </w:r>
    </w:p>
    <w:p w14:paraId="4EB114E4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2024年社区集体资产总数1158万元，门面房41间、场院3处，租赁协议一年一签。本年度社区无担保、出让、征地补偿费。</w:t>
      </w:r>
    </w:p>
    <w:p w14:paraId="459F5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20" w:firstLineChars="100"/>
        <w:jc w:val="left"/>
        <w:textAlignment w:val="auto"/>
        <w:outlineLvl w:val="9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（七）涉及居民利益的情况</w:t>
      </w:r>
    </w:p>
    <w:p w14:paraId="33E73B11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社区用集体收入为55岁以上村管村民缴纳居民医保。</w:t>
      </w:r>
    </w:p>
    <w:p w14:paraId="38A5F7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个人事项报告</w:t>
      </w:r>
    </w:p>
    <w:p w14:paraId="3961D5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本人年度工资补贴待遇各项奖金、集体分红，承包本社区集体资产，资源所得收入情况</w:t>
      </w:r>
    </w:p>
    <w:p w14:paraId="44033FC9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1、区职务津贴每月3874.84元，社区工资每月2360元；</w:t>
      </w:r>
    </w:p>
    <w:p w14:paraId="783F8074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2、享受本组集体分红每月220元，本组生活费每年800元，社区居民生活费每年500元，全年金额为3940元；</w:t>
      </w:r>
    </w:p>
    <w:p w14:paraId="0315B2E7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3、没有从事农业、经商办企业及兼职取酬等情况。</w:t>
      </w:r>
    </w:p>
    <w:p w14:paraId="3BA65D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本人、配偶及子女宅基地使用情况</w:t>
      </w:r>
    </w:p>
    <w:p w14:paraId="2254B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1、本人、配偶及子女没有宅基地</w:t>
      </w:r>
    </w:p>
    <w:p w14:paraId="5808B6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本人、配偶及子女承包、租赁、使用本社区集体“三资”情况</w:t>
      </w:r>
    </w:p>
    <w:p w14:paraId="0B696AAE">
      <w:pPr>
        <w:widowControl w:val="0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没有承包、使用社区集体土地；</w:t>
      </w:r>
    </w:p>
    <w:p w14:paraId="1B01AA71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2、没有租赁、使用社区集体房屋。</w:t>
      </w:r>
    </w:p>
    <w:p w14:paraId="7D5759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本人、配偶及子女注册个体工商户、企业情况</w:t>
      </w:r>
    </w:p>
    <w:p w14:paraId="3CE830F1"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1、配偶注册个体工商户1个</w:t>
      </w:r>
    </w:p>
    <w:p w14:paraId="29F0F93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本人、配偶及子女承揽本社区集体工程建设项目情况</w:t>
      </w:r>
    </w:p>
    <w:p w14:paraId="12C7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1、本年度没有承揽社区集体工程项目</w:t>
      </w:r>
    </w:p>
    <w:p w14:paraId="2F7100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年度办理家庭婚丧嫁娶情况</w:t>
      </w:r>
    </w:p>
    <w:p w14:paraId="589B9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1、本年度没有办理家庭婚丧嫁娶事宜。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92727"/>
    <w:multiLevelType w:val="singleLevel"/>
    <w:tmpl w:val="C38927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99F4A2"/>
    <w:multiLevelType w:val="singleLevel"/>
    <w:tmpl w:val="FA99F4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89C390"/>
    <w:multiLevelType w:val="singleLevel"/>
    <w:tmpl w:val="2F89C3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6AAB"/>
    <w:rsid w:val="19375AA4"/>
    <w:rsid w:val="19EE0EE7"/>
    <w:rsid w:val="2AF46DF2"/>
    <w:rsid w:val="3168290C"/>
    <w:rsid w:val="37B726FE"/>
    <w:rsid w:val="4231524A"/>
    <w:rsid w:val="45CC1894"/>
    <w:rsid w:val="4FA936F4"/>
    <w:rsid w:val="634B0EE7"/>
    <w:rsid w:val="64A63DEA"/>
    <w:rsid w:val="70FC6926"/>
    <w:rsid w:val="72441905"/>
    <w:rsid w:val="73403FAF"/>
    <w:rsid w:val="7E6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2676</Words>
  <Characters>2748</Characters>
  <Lines>0</Lines>
  <Paragraphs>0</Paragraphs>
  <TotalTime>0</TotalTime>
  <ScaleCrop>false</ScaleCrop>
  <LinksUpToDate>false</LinksUpToDate>
  <CharactersWithSpaces>2779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2025-02-26T03:44:00Z</dcterms:created>
  <dc:creator>Administrator</dc:creator>
  <cp:lastModifiedBy>陈伟东</cp:lastModifiedBy>
  <dcterms:modified xsi:type="dcterms:W3CDTF">2025-02-27T01:52:43Z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eyJoZGlkIjoiNGM0MzJhZTc1NzQ1YWU2Zjg4MjgxYjY2ZGRjOGYxNzEiLCJ1c2VySWQiOiIxMTc5MjQwMjQ2In0=</vt:lpwstr>
  </property>
  <property fmtid="{D5CDD505-2E9C-101B-9397-08002B2CF9AE}" pid="4" name="ICV">
    <vt:lpwstr>EB7B60DABDC04EABB79BEEAA8FBA5A2E_13</vt:lpwstr>
  </property>
</Properties>
</file>